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0223" w:rsidRDefault="00182C00" w:rsidP="00182C00">
      <w:pPr>
        <w:pStyle w:val="Titolo"/>
      </w:pPr>
      <w:bookmarkStart w:id="0" w:name="_GoBack"/>
      <w:bookmarkEnd w:id="0"/>
      <w:r>
        <w:rPr>
          <w:noProof/>
          <w:lang w:eastAsia="it-IT"/>
        </w:rPr>
        <w:drawing>
          <wp:anchor distT="0" distB="0" distL="114300" distR="114300" simplePos="0" relativeHeight="251658240" behindDoc="0" locked="0" layoutInCell="1" allowOverlap="1" wp14:anchorId="48A7E7AE" wp14:editId="6C6FE011">
            <wp:simplePos x="0" y="0"/>
            <wp:positionH relativeFrom="column">
              <wp:posOffset>3810</wp:posOffset>
            </wp:positionH>
            <wp:positionV relativeFrom="paragraph">
              <wp:posOffset>-74295</wp:posOffset>
            </wp:positionV>
            <wp:extent cx="2619375" cy="1743075"/>
            <wp:effectExtent l="0" t="0" r="9525" b="9525"/>
            <wp:wrapSquare wrapText="bothSides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URNOUT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19375" cy="1743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IL BURNOUT IN ODONTOIATRIA</w:t>
      </w:r>
    </w:p>
    <w:p w:rsidR="00182C00" w:rsidRDefault="00182C00" w:rsidP="00182C00">
      <w:pPr>
        <w:pStyle w:val="Sottotitolo"/>
        <w:rPr>
          <w:sz w:val="32"/>
        </w:rPr>
      </w:pPr>
      <w:r w:rsidRPr="00182C00">
        <w:rPr>
          <w:sz w:val="32"/>
        </w:rPr>
        <w:t>Cause e rimedi per contrastare l’esaurimento</w:t>
      </w:r>
      <w:r>
        <w:rPr>
          <w:sz w:val="32"/>
        </w:rPr>
        <w:t xml:space="preserve"> professionale</w:t>
      </w:r>
    </w:p>
    <w:p w:rsidR="00D954C2" w:rsidRDefault="00182C00" w:rsidP="000E6C2E">
      <w:pPr>
        <w:jc w:val="both"/>
        <w:rPr>
          <w:sz w:val="28"/>
        </w:rPr>
      </w:pPr>
      <w:r>
        <w:rPr>
          <w:sz w:val="28"/>
        </w:rPr>
        <w:t>Non è un segreto il fatto che</w:t>
      </w:r>
      <w:r w:rsidR="00D954C2">
        <w:rPr>
          <w:sz w:val="28"/>
        </w:rPr>
        <w:t xml:space="preserve"> la professione odontoiatrica</w:t>
      </w:r>
      <w:r>
        <w:rPr>
          <w:sz w:val="28"/>
        </w:rPr>
        <w:t xml:space="preserve"> </w:t>
      </w:r>
      <w:r w:rsidR="00D954C2">
        <w:rPr>
          <w:sz w:val="28"/>
        </w:rPr>
        <w:t>sia divenuta</w:t>
      </w:r>
      <w:r>
        <w:rPr>
          <w:sz w:val="28"/>
        </w:rPr>
        <w:t xml:space="preserve"> notevolmente</w:t>
      </w:r>
      <w:r w:rsidR="00D954C2">
        <w:rPr>
          <w:sz w:val="28"/>
        </w:rPr>
        <w:t xml:space="preserve"> complessa</w:t>
      </w:r>
      <w:r>
        <w:rPr>
          <w:sz w:val="28"/>
        </w:rPr>
        <w:t xml:space="preserve"> nell’ultimo ventennio. Mentre per gli aspetti clinici, tecnici e scientifici pare essere ineludibile il progresso e la semplificazione per gli operatori, altri aspe</w:t>
      </w:r>
      <w:r w:rsidR="00D954C2">
        <w:rPr>
          <w:sz w:val="28"/>
        </w:rPr>
        <w:t>tti hanno invece sensibilmente</w:t>
      </w:r>
      <w:r>
        <w:rPr>
          <w:sz w:val="28"/>
        </w:rPr>
        <w:t xml:space="preserve"> complicato</w:t>
      </w:r>
      <w:r w:rsidR="00D954C2">
        <w:rPr>
          <w:sz w:val="28"/>
        </w:rPr>
        <w:t xml:space="preserve"> la professione. Da una parte gli aspetti organizzativi, amministrativo e burocratici hanno cannibalizzato tempo prezioso rubandolo alla gestione del paziente anche dal punto di vista emotivo. Dall’altra la controparte paziente si è fatta molto più esigente e purtroppo spesso con richieste poco realistiche. Certamente nel nostro settore non ci sono situazioni di serio rischio per la salute il paziente, ma il grosso impegno economico e psicologico che affligge il paziente scarica sullo staff odontoiatrico una grossa responsabilità.</w:t>
      </w:r>
      <w:r w:rsidR="001228DB">
        <w:rPr>
          <w:sz w:val="28"/>
        </w:rPr>
        <w:t xml:space="preserve"> Quest’ultima</w:t>
      </w:r>
      <w:r w:rsidR="00D954C2">
        <w:rPr>
          <w:sz w:val="28"/>
        </w:rPr>
        <w:t xml:space="preserve"> e il fatt</w:t>
      </w:r>
      <w:r w:rsidR="001228DB">
        <w:rPr>
          <w:sz w:val="28"/>
        </w:rPr>
        <w:t>o di essere depositari di profonda fiducia possono trasformarsi per noi da positiva ispirazione ad autentico gravame. Si descrivono in questo modulo alcuni suggerimenti su come gestire questa dinamica</w:t>
      </w:r>
      <w:r w:rsidR="00687A46">
        <w:rPr>
          <w:sz w:val="28"/>
        </w:rPr>
        <w:t xml:space="preserve"> che, per vari motivi, viene percepita più facilmente dal personale ausiliario</w:t>
      </w:r>
      <w:r w:rsidR="001228DB">
        <w:rPr>
          <w:sz w:val="28"/>
        </w:rPr>
        <w:t>.</w:t>
      </w:r>
    </w:p>
    <w:p w:rsidR="001228DB" w:rsidRDefault="001228DB" w:rsidP="001228DB">
      <w:pPr>
        <w:pStyle w:val="Titolo"/>
        <w:rPr>
          <w:rFonts w:asciiTheme="minorHAnsi" w:eastAsiaTheme="minorHAnsi" w:hAnsiTheme="minorHAnsi" w:cstheme="minorBidi"/>
          <w:color w:val="auto"/>
          <w:spacing w:val="0"/>
          <w:kern w:val="0"/>
          <w:sz w:val="28"/>
          <w:szCs w:val="22"/>
        </w:rPr>
      </w:pPr>
    </w:p>
    <w:p w:rsidR="001228DB" w:rsidRDefault="001228DB" w:rsidP="001228DB"/>
    <w:p w:rsidR="000E6C2E" w:rsidRDefault="000E6C2E" w:rsidP="001228DB"/>
    <w:p w:rsidR="000E6C2E" w:rsidRDefault="000E6C2E" w:rsidP="001228DB"/>
    <w:p w:rsidR="000E6C2E" w:rsidRDefault="000E6C2E" w:rsidP="001228DB"/>
    <w:p w:rsidR="000E6C2E" w:rsidRDefault="000E6C2E" w:rsidP="001228DB"/>
    <w:p w:rsidR="000E6C2E" w:rsidRDefault="000E6C2E" w:rsidP="001228DB"/>
    <w:p w:rsidR="000E6C2E" w:rsidRDefault="000E6C2E" w:rsidP="001228DB"/>
    <w:p w:rsidR="000E6C2E" w:rsidRDefault="000E6C2E" w:rsidP="001228DB"/>
    <w:p w:rsidR="000E6C2E" w:rsidRDefault="000E6C2E" w:rsidP="001228DB"/>
    <w:p w:rsidR="000E6C2E" w:rsidRPr="001228DB" w:rsidRDefault="000E6C2E" w:rsidP="001228DB"/>
    <w:p w:rsidR="000E6C2E" w:rsidRDefault="000E6C2E" w:rsidP="001228DB">
      <w:pPr>
        <w:pStyle w:val="Titolo"/>
        <w:rPr>
          <w:rFonts w:asciiTheme="minorHAnsi" w:eastAsiaTheme="minorHAnsi" w:hAnsiTheme="minorHAnsi" w:cstheme="minorBidi"/>
          <w:color w:val="auto"/>
          <w:spacing w:val="0"/>
          <w:kern w:val="0"/>
          <w:sz w:val="28"/>
          <w:szCs w:val="22"/>
        </w:rPr>
      </w:pPr>
    </w:p>
    <w:p w:rsidR="000E6C2E" w:rsidRDefault="000E6C2E" w:rsidP="001228DB">
      <w:pPr>
        <w:pStyle w:val="Titolo"/>
        <w:rPr>
          <w:rFonts w:asciiTheme="minorHAnsi" w:eastAsiaTheme="minorHAnsi" w:hAnsiTheme="minorHAnsi" w:cstheme="minorBidi"/>
          <w:color w:val="auto"/>
          <w:spacing w:val="0"/>
          <w:kern w:val="0"/>
          <w:sz w:val="28"/>
          <w:szCs w:val="22"/>
        </w:rPr>
      </w:pPr>
    </w:p>
    <w:p w:rsidR="001228DB" w:rsidRDefault="001228DB" w:rsidP="001228DB">
      <w:pPr>
        <w:pStyle w:val="Titolo"/>
      </w:pPr>
      <w:r>
        <w:rPr>
          <w:noProof/>
          <w:lang w:eastAsia="it-IT"/>
        </w:rPr>
        <w:drawing>
          <wp:anchor distT="0" distB="0" distL="114300" distR="114300" simplePos="0" relativeHeight="251659264" behindDoc="0" locked="0" layoutInCell="1" allowOverlap="1" wp14:anchorId="294010A6" wp14:editId="19CB7E02">
            <wp:simplePos x="0" y="0"/>
            <wp:positionH relativeFrom="column">
              <wp:posOffset>3810</wp:posOffset>
            </wp:positionH>
            <wp:positionV relativeFrom="paragraph">
              <wp:posOffset>3810</wp:posOffset>
            </wp:positionV>
            <wp:extent cx="2505075" cy="1600200"/>
            <wp:effectExtent l="0" t="0" r="9525" b="0"/>
            <wp:wrapSquare wrapText="bothSides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TIVAZIONE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5075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Theme="minorHAnsi" w:eastAsiaTheme="minorHAnsi" w:hAnsiTheme="minorHAnsi" w:cstheme="minorBidi"/>
          <w:color w:val="auto"/>
          <w:spacing w:val="0"/>
          <w:kern w:val="0"/>
          <w:sz w:val="28"/>
          <w:szCs w:val="22"/>
        </w:rPr>
        <w:t xml:space="preserve">   </w:t>
      </w:r>
      <w:r>
        <w:t>IL COLLOQUIO</w:t>
      </w:r>
    </w:p>
    <w:p w:rsidR="001228DB" w:rsidRDefault="001228DB" w:rsidP="001228DB">
      <w:pPr>
        <w:pStyle w:val="Titolo"/>
      </w:pPr>
      <w:r>
        <w:t xml:space="preserve"> MOTIVAZIONALE</w:t>
      </w:r>
    </w:p>
    <w:p w:rsidR="001228DB" w:rsidRPr="001228DB" w:rsidRDefault="001228DB" w:rsidP="001228DB">
      <w:pPr>
        <w:pStyle w:val="Sottotitolo"/>
        <w:rPr>
          <w:sz w:val="28"/>
          <w:szCs w:val="28"/>
        </w:rPr>
      </w:pPr>
      <w:r w:rsidRPr="001228DB">
        <w:rPr>
          <w:sz w:val="28"/>
          <w:szCs w:val="28"/>
        </w:rPr>
        <w:t xml:space="preserve">Strumenti per lo staff odontoiatrico per </w:t>
      </w:r>
      <w:r w:rsidR="001401EA">
        <w:rPr>
          <w:sz w:val="28"/>
          <w:szCs w:val="28"/>
        </w:rPr>
        <w:t xml:space="preserve">potenziare la </w:t>
      </w:r>
      <w:proofErr w:type="spellStart"/>
      <w:r w:rsidR="001401EA">
        <w:rPr>
          <w:sz w:val="28"/>
          <w:szCs w:val="28"/>
        </w:rPr>
        <w:t>compliance</w:t>
      </w:r>
      <w:proofErr w:type="spellEnd"/>
      <w:r w:rsidR="001401EA">
        <w:rPr>
          <w:sz w:val="28"/>
          <w:szCs w:val="28"/>
        </w:rPr>
        <w:t xml:space="preserve"> del paziente</w:t>
      </w:r>
    </w:p>
    <w:p w:rsidR="001228DB" w:rsidRDefault="001228DB" w:rsidP="001228DB"/>
    <w:p w:rsidR="001401EA" w:rsidRDefault="001401EA" w:rsidP="000E6C2E">
      <w:pPr>
        <w:jc w:val="both"/>
        <w:rPr>
          <w:sz w:val="28"/>
        </w:rPr>
      </w:pPr>
      <w:r>
        <w:rPr>
          <w:sz w:val="28"/>
        </w:rPr>
        <w:t>Uno dei problemi più frequenti che colpisce l’attività dello studio odontoiatrico è l’insieme dei fenomeni che potremmo raggruppare come scarsa adesione del paziente alle indicazioni del personale sanitario: superficiale osservanza delle prescrizioni mediche, disdette e ritardi ingiustificati, comportamenti antigienici,…</w:t>
      </w:r>
    </w:p>
    <w:p w:rsidR="001401EA" w:rsidRDefault="001401EA" w:rsidP="000E6C2E">
      <w:pPr>
        <w:jc w:val="both"/>
        <w:rPr>
          <w:sz w:val="28"/>
        </w:rPr>
      </w:pPr>
      <w:r>
        <w:rPr>
          <w:sz w:val="28"/>
        </w:rPr>
        <w:t>Questo si ripercuote negativamente sullo studio odontoiatrico inteso sia come realtà medica che come realtà imprenditoriale.</w:t>
      </w:r>
    </w:p>
    <w:p w:rsidR="001401EA" w:rsidRPr="001401EA" w:rsidRDefault="001401EA" w:rsidP="000E6C2E">
      <w:pPr>
        <w:jc w:val="both"/>
        <w:rPr>
          <w:sz w:val="28"/>
        </w:rPr>
      </w:pPr>
      <w:r>
        <w:rPr>
          <w:sz w:val="28"/>
        </w:rPr>
        <w:t>Dato per assodato come fallimentare l</w:t>
      </w:r>
      <w:r w:rsidR="00687A46">
        <w:rPr>
          <w:sz w:val="28"/>
        </w:rPr>
        <w:t>’approccio punitivo/coercitivo</w:t>
      </w:r>
      <w:r>
        <w:rPr>
          <w:sz w:val="28"/>
        </w:rPr>
        <w:t xml:space="preserve">, non rimane che </w:t>
      </w:r>
      <w:r w:rsidR="00687A46">
        <w:rPr>
          <w:sz w:val="28"/>
        </w:rPr>
        <w:t>strutturare in modo sistematico una serie di strategie atte da un lato a rivalutare l’operato dello staff odontoiatrico riqualificando la reputazione delle terapie, dall’altro cercando di muovere nella testa del paziente le giuste leve</w:t>
      </w:r>
      <w:r w:rsidR="000E6C2E">
        <w:rPr>
          <w:sz w:val="28"/>
        </w:rPr>
        <w:t xml:space="preserve"> alla ricerca della motivazione intrinseca</w:t>
      </w:r>
      <w:r w:rsidR="00687A46">
        <w:rPr>
          <w:sz w:val="28"/>
        </w:rPr>
        <w:t xml:space="preserve">. Proprio su alcuni di questi strumenti si vuole fare il punto in questa relazione. Con un odontoiatria </w:t>
      </w:r>
      <w:r w:rsidR="000E6C2E">
        <w:rPr>
          <w:sz w:val="28"/>
        </w:rPr>
        <w:t xml:space="preserve">sempre </w:t>
      </w:r>
      <w:r w:rsidR="00687A46">
        <w:rPr>
          <w:sz w:val="28"/>
        </w:rPr>
        <w:t xml:space="preserve">concentrato tra lo studio intellettuale del caso clinico e il gesto tecnico del trattamento, </w:t>
      </w:r>
      <w:r w:rsidR="000E6C2E">
        <w:rPr>
          <w:sz w:val="28"/>
        </w:rPr>
        <w:t xml:space="preserve">crediamo che </w:t>
      </w:r>
      <w:r w:rsidR="00687A46">
        <w:rPr>
          <w:sz w:val="28"/>
        </w:rPr>
        <w:t>l’</w:t>
      </w:r>
      <w:r w:rsidR="000E6C2E">
        <w:rPr>
          <w:sz w:val="28"/>
        </w:rPr>
        <w:t>ASO si debba</w:t>
      </w:r>
      <w:r w:rsidR="00687A46">
        <w:rPr>
          <w:sz w:val="28"/>
        </w:rPr>
        <w:t xml:space="preserve"> fa</w:t>
      </w:r>
      <w:r w:rsidR="000E6C2E">
        <w:rPr>
          <w:sz w:val="28"/>
        </w:rPr>
        <w:t>re</w:t>
      </w:r>
      <w:r w:rsidR="00687A46">
        <w:rPr>
          <w:sz w:val="28"/>
        </w:rPr>
        <w:t xml:space="preserve"> garante di questa importante funzione</w:t>
      </w:r>
      <w:r w:rsidR="000E6C2E">
        <w:rPr>
          <w:sz w:val="28"/>
        </w:rPr>
        <w:t>.</w:t>
      </w:r>
    </w:p>
    <w:sectPr w:rsidR="001401EA" w:rsidRPr="001401E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2C00"/>
    <w:rsid w:val="000A37B5"/>
    <w:rsid w:val="000E6C2E"/>
    <w:rsid w:val="001228DB"/>
    <w:rsid w:val="001401EA"/>
    <w:rsid w:val="00182C00"/>
    <w:rsid w:val="00687A46"/>
    <w:rsid w:val="00A243D7"/>
    <w:rsid w:val="00BE408A"/>
    <w:rsid w:val="00D95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Normale"/>
    <w:link w:val="TitoloCarattere"/>
    <w:uiPriority w:val="10"/>
    <w:qFormat/>
    <w:rsid w:val="00182C00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182C0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82C00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82C00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82C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82C0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Normale"/>
    <w:link w:val="TitoloCarattere"/>
    <w:uiPriority w:val="10"/>
    <w:qFormat/>
    <w:rsid w:val="00182C00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182C0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82C00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82C00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82C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82C0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363</Words>
  <Characters>2073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Company</Company>
  <LinksUpToDate>false</LinksUpToDate>
  <CharactersWithSpaces>2432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Doe</dc:creator>
  <cp:lastModifiedBy>Andi_AIO</cp:lastModifiedBy>
  <cp:revision>2</cp:revision>
  <dcterms:created xsi:type="dcterms:W3CDTF">2020-02-13T10:49:00Z</dcterms:created>
  <dcterms:modified xsi:type="dcterms:W3CDTF">2020-02-13T10:49:00Z</dcterms:modified>
</cp:coreProperties>
</file>